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28308764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5F6CC3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DC7ABB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DC7ABB">
        <w:rPr>
          <w:rFonts w:asciiTheme="minorHAnsi" w:hAnsiTheme="minorHAnsi" w:cstheme="minorHAnsi"/>
          <w:sz w:val="24"/>
          <w:szCs w:val="24"/>
        </w:rPr>
        <w:t>az ONYT SZMSZ módosításának jóváhagyásáról</w:t>
      </w:r>
    </w:p>
    <w:p w:rsidR="00DC7ABB" w:rsidRDefault="00DC7AB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432E9F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E9F">
        <w:rPr>
          <w:rFonts w:asciiTheme="minorHAnsi" w:hAnsiTheme="minorHAnsi" w:cstheme="minorHAnsi"/>
          <w:sz w:val="24"/>
          <w:szCs w:val="24"/>
        </w:rPr>
        <w:t>Az Elnökség az ONYT SZMSZ 2022. április 8-ai módosítását jóváhagyja.</w:t>
      </w:r>
    </w:p>
    <w:p w:rsidR="00432E9F" w:rsidRDefault="00432E9F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2E9F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A9F4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2022-05-09T04:50:00Z</dcterms:created>
  <dcterms:modified xsi:type="dcterms:W3CDTF">2022-10-26T15:00:00Z</dcterms:modified>
</cp:coreProperties>
</file>